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keepNext/>
        <w:spacing w:before="0" w:after="0"/>
        <w:ind w:firstLine="567"/>
        <w:jc w:val="right"/>
        <w:rPr>
          <w:sz w:val="27"/>
          <w:szCs w:val="27"/>
        </w:rPr>
      </w:pPr>
      <w:r>
        <w:rPr>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2"/>
          <w:szCs w:val="22"/>
        </w:rPr>
        <w:t>Дело № 2-652-2602/26</w:t>
      </w:r>
    </w:p>
    <w:p>
      <w:pPr>
        <w:keepNext/>
        <w:spacing w:before="0" w:after="0"/>
        <w:ind w:firstLine="567"/>
        <w:jc w:val="right"/>
        <w:rPr>
          <w:sz w:val="20"/>
          <w:szCs w:val="20"/>
        </w:rPr>
      </w:pPr>
      <w:r>
        <w:rPr>
          <w:rFonts w:ascii="Times New Roman" w:eastAsia="Times New Roman" w:hAnsi="Times New Roman" w:cs="Times New Roman"/>
          <w:sz w:val="20"/>
          <w:szCs w:val="20"/>
        </w:rPr>
        <w:t>УИД</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86MS0062-01-2025-010739-09</w:t>
      </w:r>
    </w:p>
    <w:p>
      <w:pPr>
        <w:keepNext/>
        <w:spacing w:before="0" w:after="0"/>
        <w:ind w:firstLine="567"/>
        <w:jc w:val="center"/>
        <w:rPr>
          <w:sz w:val="28"/>
          <w:szCs w:val="28"/>
        </w:rPr>
      </w:pPr>
      <w:r>
        <w:rPr>
          <w:rFonts w:ascii="Times New Roman" w:eastAsia="Times New Roman" w:hAnsi="Times New Roman" w:cs="Times New Roman"/>
          <w:sz w:val="28"/>
          <w:szCs w:val="28"/>
        </w:rPr>
        <w:t>РЕШЕНИЕ</w:t>
      </w:r>
    </w:p>
    <w:p>
      <w:pPr>
        <w:spacing w:before="0" w:after="0"/>
        <w:ind w:firstLine="567"/>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ind w:firstLine="567"/>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24 апреля 2026 года</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2 Сургутского судебного района города окружного значения Сургута Ханты-Мансийского автономного округа-Югры Бордунов М.Б., </w:t>
      </w:r>
      <w:r>
        <w:rPr>
          <w:rFonts w:ascii="Times New Roman" w:eastAsia="Times New Roman" w:hAnsi="Times New Roman" w:cs="Times New Roman"/>
          <w:sz w:val="28"/>
          <w:szCs w:val="28"/>
        </w:rPr>
        <w:t>рассмотрев в порядке упрощенного производства гражданское дело по иску</w:t>
      </w:r>
      <w:r>
        <w:rPr>
          <w:rFonts w:ascii="Times New Roman" w:eastAsia="Times New Roman" w:hAnsi="Times New Roman" w:cs="Times New Roman"/>
          <w:sz w:val="28"/>
          <w:szCs w:val="28"/>
        </w:rPr>
        <w:t xml:space="preserve"> Акционерного общества «АльфаСтрахование» к Вольскому Роману Петровичу о возмещении ущерба в порядке суброгации</w:t>
      </w:r>
      <w:r>
        <w:rPr>
          <w:rFonts w:ascii="Times New Roman" w:eastAsia="Times New Roman" w:hAnsi="Times New Roman" w:cs="Times New Roman"/>
          <w:sz w:val="28"/>
          <w:szCs w:val="28"/>
        </w:rPr>
        <w:t xml:space="preserve">, </w:t>
      </w:r>
    </w:p>
    <w:p>
      <w:pPr>
        <w:spacing w:before="0" w:after="0"/>
        <w:ind w:firstLine="567"/>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Истец обратился </w:t>
      </w:r>
      <w:r>
        <w:rPr>
          <w:rFonts w:ascii="Times New Roman" w:eastAsia="Times New Roman" w:hAnsi="Times New Roman" w:cs="Times New Roman"/>
          <w:sz w:val="28"/>
          <w:szCs w:val="28"/>
        </w:rPr>
        <w:t>в суд с вышеуказанным иском к ответчику, мотивируя свои требования тем,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20.02.2024 между АО «</w:t>
      </w:r>
      <w:r>
        <w:rPr>
          <w:rFonts w:ascii="Times New Roman" w:eastAsia="Times New Roman" w:hAnsi="Times New Roman" w:cs="Times New Roman"/>
          <w:sz w:val="28"/>
          <w:szCs w:val="28"/>
        </w:rPr>
        <w:t>Альфа-Страхование</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Веретинским</w:t>
      </w:r>
      <w:r>
        <w:rPr>
          <w:rFonts w:ascii="Times New Roman" w:eastAsia="Times New Roman" w:hAnsi="Times New Roman" w:cs="Times New Roman"/>
          <w:sz w:val="28"/>
          <w:szCs w:val="28"/>
        </w:rPr>
        <w:t xml:space="preserve"> И.Н. заключен договор страхования № 7514</w:t>
      </w:r>
      <w:r>
        <w:rPr>
          <w:rFonts w:ascii="Times New Roman" w:eastAsia="Times New Roman" w:hAnsi="Times New Roman" w:cs="Times New Roman"/>
          <w:sz w:val="28"/>
          <w:szCs w:val="28"/>
        </w:rPr>
        <w:t>W</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046</w:t>
      </w:r>
      <w:r>
        <w:rPr>
          <w:rFonts w:ascii="Times New Roman" w:eastAsia="Times New Roman" w:hAnsi="Times New Roman" w:cs="Times New Roman"/>
          <w:sz w:val="28"/>
          <w:szCs w:val="28"/>
        </w:rPr>
        <w:t xml:space="preserve">/Е00210/24 (КАСКО), застрахованное транспортное средство </w:t>
      </w:r>
      <w:r>
        <w:rPr>
          <w:rStyle w:val="cat-CarMakeModelgrp-35rplc-1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7rplc-1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12.09.2024 ответчик Вольский Р.П., управляя транспортным средством </w:t>
      </w:r>
      <w:r>
        <w:rPr>
          <w:rStyle w:val="cat-CarMakeModelgrp-36rplc-1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4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8rplc-1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в результате нарушения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9.10 Правил дорожного движения, совершил столкновение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транспортным средством </w:t>
      </w:r>
      <w:r>
        <w:rPr>
          <w:rStyle w:val="cat-CarMakeModelgrp-35rplc-1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7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Fonts w:ascii="Times New Roman" w:eastAsia="Times New Roman" w:hAnsi="Times New Roman" w:cs="Times New Roman"/>
          <w:sz w:val="28"/>
          <w:szCs w:val="28"/>
        </w:rPr>
        <w:t>Веретинского</w:t>
      </w:r>
      <w:r>
        <w:rPr>
          <w:rFonts w:ascii="Times New Roman" w:eastAsia="Times New Roman" w:hAnsi="Times New Roman" w:cs="Times New Roman"/>
          <w:sz w:val="28"/>
          <w:szCs w:val="28"/>
        </w:rPr>
        <w:t xml:space="preserve"> И.Н. В результате дорожно-транспортного происшествия транспортные средства получили механические повреждения. Причиной ДТП явились действия ответчика. Потерпевший </w:t>
      </w:r>
      <w:r>
        <w:rPr>
          <w:rFonts w:ascii="Times New Roman" w:eastAsia="Times New Roman" w:hAnsi="Times New Roman" w:cs="Times New Roman"/>
          <w:sz w:val="28"/>
          <w:szCs w:val="28"/>
        </w:rPr>
        <w:t>Веретинский</w:t>
      </w:r>
      <w:r>
        <w:rPr>
          <w:rFonts w:ascii="Times New Roman" w:eastAsia="Times New Roman" w:hAnsi="Times New Roman" w:cs="Times New Roman"/>
          <w:sz w:val="28"/>
          <w:szCs w:val="28"/>
        </w:rPr>
        <w:t xml:space="preserve"> И.Н. обратился в АО «</w:t>
      </w:r>
      <w:r>
        <w:rPr>
          <w:rFonts w:ascii="Times New Roman" w:eastAsia="Times New Roman" w:hAnsi="Times New Roman" w:cs="Times New Roman"/>
          <w:sz w:val="28"/>
          <w:szCs w:val="28"/>
        </w:rPr>
        <w:t>Альфа-Страхование</w:t>
      </w:r>
      <w:r>
        <w:rPr>
          <w:rFonts w:ascii="Times New Roman" w:eastAsia="Times New Roman" w:hAnsi="Times New Roman" w:cs="Times New Roman"/>
          <w:sz w:val="28"/>
          <w:szCs w:val="28"/>
        </w:rPr>
        <w:t xml:space="preserve">» с заявлением о страховом случае. Стоимость восстановительного ремонта транспортного средства </w:t>
      </w:r>
      <w:r>
        <w:rPr>
          <w:rStyle w:val="cat-CarMakeModelgrp-35rplc-2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7rplc-2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составила 449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957 рублей, что подтверждается </w:t>
      </w:r>
      <w:r>
        <w:rPr>
          <w:rFonts w:ascii="Times New Roman" w:eastAsia="Times New Roman" w:hAnsi="Times New Roman" w:cs="Times New Roman"/>
          <w:sz w:val="28"/>
          <w:szCs w:val="28"/>
        </w:rPr>
        <w:t>заказ-нарядом, актом выполненных работ ООО «СК-Моторс КОЛОР», производившего восстановительный ремонт по направлению АО «</w:t>
      </w:r>
      <w:r>
        <w:rPr>
          <w:rFonts w:ascii="Times New Roman" w:eastAsia="Times New Roman" w:hAnsi="Times New Roman" w:cs="Times New Roman"/>
          <w:sz w:val="28"/>
          <w:szCs w:val="28"/>
        </w:rPr>
        <w:t>Альфа-Страхование</w:t>
      </w:r>
      <w:r>
        <w:rPr>
          <w:rFonts w:ascii="Times New Roman" w:eastAsia="Times New Roman" w:hAnsi="Times New Roman" w:cs="Times New Roman"/>
          <w:sz w:val="28"/>
          <w:szCs w:val="28"/>
        </w:rPr>
        <w:t xml:space="preserve">». Общество оплатило указанный ремонт, что подтверждается платежным поручением от 21.02.2025 № 22355. </w:t>
      </w:r>
      <w:r>
        <w:rPr>
          <w:rFonts w:ascii="Times New Roman" w:eastAsia="Times New Roman" w:hAnsi="Times New Roman" w:cs="Times New Roman"/>
          <w:sz w:val="28"/>
          <w:szCs w:val="28"/>
        </w:rPr>
        <w:t xml:space="preserve">Гражданская ответственность ответчика на момент ДТП была застрахована в АО «Т-страхование». Согласно экспертному заключению ООО «Компакт эксперт», составленному в соответствии с Единой методикой, утвержденной Центральным Банком РФ, стоимость восстановительного ремонта транспортного средства </w:t>
      </w:r>
      <w:r>
        <w:rPr>
          <w:rStyle w:val="cat-CarMakeModelgrp-35rplc-3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3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учетом износа составила 371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620,06 рублей. Указанную сумму АО «Т-Страхование» перечислило АО «</w:t>
      </w:r>
      <w:r>
        <w:rPr>
          <w:rFonts w:ascii="Times New Roman" w:eastAsia="Times New Roman" w:hAnsi="Times New Roman" w:cs="Times New Roman"/>
          <w:sz w:val="28"/>
          <w:szCs w:val="28"/>
        </w:rPr>
        <w:t>Альфа-Страхование</w:t>
      </w:r>
      <w:r>
        <w:rPr>
          <w:rFonts w:ascii="Times New Roman" w:eastAsia="Times New Roman" w:hAnsi="Times New Roman" w:cs="Times New Roman"/>
          <w:sz w:val="28"/>
          <w:szCs w:val="28"/>
        </w:rPr>
        <w:t>» на основании требования о страховой выплате.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ст.15, 965, 1064, 1072 Гражданского кодекса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юридическое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лицо</w:t>
      </w:r>
      <w:r>
        <w:rPr>
          <w:rFonts w:ascii="Times New Roman" w:eastAsia="Times New Roman" w:hAnsi="Times New Roman" w:cs="Times New Roman"/>
          <w:sz w:val="28"/>
          <w:szCs w:val="28"/>
        </w:rPr>
        <w:t xml:space="preserve"> или гражданин, застраховавшие свою ответственность в порядке добровольного или обязательного с</w:t>
      </w:r>
      <w:r>
        <w:rPr>
          <w:rFonts w:ascii="Times New Roman" w:eastAsia="Times New Roman" w:hAnsi="Times New Roman" w:cs="Times New Roman"/>
          <w:sz w:val="28"/>
          <w:szCs w:val="28"/>
        </w:rPr>
        <w:t>трахования в пользу потерпевшего,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В результате истец просит </w:t>
      </w:r>
      <w:r>
        <w:rPr>
          <w:rFonts w:ascii="Times New Roman" w:eastAsia="Times New Roman" w:hAnsi="Times New Roman" w:cs="Times New Roman"/>
          <w:sz w:val="28"/>
          <w:szCs w:val="28"/>
        </w:rPr>
        <w:t xml:space="preserve">суд взыскать с ответчика </w:t>
      </w:r>
      <w:r>
        <w:rPr>
          <w:rFonts w:ascii="Times New Roman" w:eastAsia="Times New Roman" w:hAnsi="Times New Roman" w:cs="Times New Roman"/>
          <w:sz w:val="28"/>
          <w:szCs w:val="28"/>
        </w:rPr>
        <w:t>разницу между страховым возмещением и фактическим размером ущерба</w:t>
      </w:r>
      <w:r>
        <w:rPr>
          <w:rFonts w:ascii="Times New Roman" w:eastAsia="Times New Roman" w:hAnsi="Times New Roman" w:cs="Times New Roman"/>
          <w:sz w:val="28"/>
          <w:szCs w:val="28"/>
        </w:rPr>
        <w:t xml:space="preserve"> в сумме </w:t>
      </w:r>
      <w:r>
        <w:rPr>
          <w:rFonts w:ascii="Times New Roman" w:eastAsia="Times New Roman" w:hAnsi="Times New Roman" w:cs="Times New Roman"/>
          <w:sz w:val="28"/>
          <w:szCs w:val="28"/>
        </w:rPr>
        <w:t>49 957</w:t>
      </w:r>
      <w:r>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(449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957 руб</w:t>
      </w:r>
      <w:r>
        <w:rPr>
          <w:rFonts w:ascii="Times New Roman" w:eastAsia="Times New Roman" w:hAnsi="Times New Roman" w:cs="Times New Roman"/>
          <w:sz w:val="28"/>
          <w:szCs w:val="28"/>
        </w:rPr>
        <w:t>лей (сумма страховой выплаты) – 400 00 рублей (лимит страховой выплаты в рамках договора ОСАГО)</w:t>
      </w:r>
      <w:r>
        <w:rPr>
          <w:rFonts w:ascii="Times New Roman" w:eastAsia="Times New Roman" w:hAnsi="Times New Roman" w:cs="Times New Roman"/>
          <w:sz w:val="28"/>
          <w:szCs w:val="28"/>
        </w:rPr>
        <w:t>, а также судебные расходы по оплате государственной пошлины в размере 4 000 рублей.</w:t>
      </w:r>
    </w:p>
    <w:p>
      <w:pPr>
        <w:spacing w:before="0" w:after="0"/>
        <w:ind w:firstLine="567"/>
        <w:jc w:val="both"/>
        <w:rPr>
          <w:sz w:val="28"/>
          <w:szCs w:val="28"/>
        </w:rPr>
      </w:pPr>
      <w:r>
        <w:rPr>
          <w:rFonts w:ascii="Times New Roman" w:eastAsia="Times New Roman" w:hAnsi="Times New Roman" w:cs="Times New Roman"/>
          <w:sz w:val="28"/>
          <w:szCs w:val="28"/>
        </w:rPr>
        <w:t xml:space="preserve">Гражданское дело рассмотрено в порядке упрощенного производства. Определение о принятии искового заявления к производству суда, возбуждении гражданского дела в суде первой инстанции и рассмотрении гражданского дела в порядке упрощенного производства от </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было направлено сторонам по указанным в иске адресам и получено представителем истца и ответчиком. </w:t>
      </w:r>
    </w:p>
    <w:p>
      <w:pPr>
        <w:spacing w:before="0" w:after="0"/>
        <w:ind w:firstLine="567"/>
        <w:jc w:val="both"/>
        <w:rPr>
          <w:sz w:val="28"/>
          <w:szCs w:val="28"/>
        </w:rPr>
      </w:pPr>
      <w:r>
        <w:rPr>
          <w:rFonts w:ascii="Times New Roman" w:eastAsia="Times New Roman" w:hAnsi="Times New Roman" w:cs="Times New Roman"/>
          <w:sz w:val="28"/>
          <w:szCs w:val="28"/>
        </w:rPr>
        <w:t>Ответчик Вольский Р.П. в установленный судом срок предоставил возражение на исковое заявление, в котором исковые требования не признал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просил суд в удовлетворении исковых требований отказать в полном объеме. Свою позицию ответчик мотивировал тем, что </w:t>
      </w:r>
      <w:r>
        <w:rPr>
          <w:rFonts w:ascii="Times New Roman" w:eastAsia="Times New Roman" w:hAnsi="Times New Roman" w:cs="Times New Roman"/>
          <w:sz w:val="28"/>
          <w:szCs w:val="28"/>
        </w:rPr>
        <w:t>на момент дорожно-транспортного происшествия его гражданская ответственность была застрахована в АО «Т-страхование». Страховщик признал случай страховым и руководствуясь Единой методикой ЦБ РФ, произвел выплату в пользу истца в размере 371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620,06 рублей. Данная сумма определена на основании экспертного заключения, представленного самим истцом. Данная выплата полностью покрывает объективный размер ущерба, необходимый для восстановления нарушенного права, с учетом разумности </w:t>
      </w:r>
      <w:r>
        <w:rPr>
          <w:rFonts w:ascii="Times New Roman" w:eastAsia="Times New Roman" w:hAnsi="Times New Roman" w:cs="Times New Roman"/>
          <w:sz w:val="28"/>
          <w:szCs w:val="28"/>
        </w:rPr>
        <w:t>расходов. Истец требует взыскать разницу между фактической оплатой ремонта на СТОА и выплатой ОСАГО. Расходы истца сверх суммы страховой выплаты по ОСАГО являются коммерч</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ской наценкой сервисной станции, обусловленной внутренними договоренностями между истцом и СТОА. </w:t>
      </w:r>
      <w:r>
        <w:rPr>
          <w:rFonts w:ascii="Times New Roman" w:eastAsia="Times New Roman" w:hAnsi="Times New Roman" w:cs="Times New Roman"/>
          <w:sz w:val="28"/>
          <w:szCs w:val="28"/>
        </w:rPr>
        <w:t xml:space="preserve">Возложение на гражданина обязанности оплачивать коммерческую наценку дилера сверх объективной стоимости ремонта, определенной по Единой методике, приводит к неосновательному обогащению истца. Кроме того, внешние повреждения транспортного средства не предполагали проведение сложного кузовного ремонта с заменой несущих элементов кузова (панели пола, боковины), включенные дилером в заказ-наряд. Включение в смету работ по замене дорогостоящих узлов вместо восстановительного ремонта (рихтовки/окраски) привело к искусственному увеличению суммы убытков. </w:t>
      </w:r>
      <w:r>
        <w:rPr>
          <w:rFonts w:ascii="Times New Roman" w:eastAsia="Times New Roman" w:hAnsi="Times New Roman" w:cs="Times New Roman"/>
          <w:sz w:val="28"/>
          <w:szCs w:val="28"/>
        </w:rPr>
        <w:t>Действия по замене целых кузовных элементов при незначительном ударе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малой скорости являются экономически невыгодными и не могут быть отнесены к необходимым расходам.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Изучив материалы дела, суд пришёл к следующим выводам.</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ст.56 Гражданского процессуального кодекса Российской Федерации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В силу ст.67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Из материалов дела следует и не оспаривается сторонами, что </w:t>
      </w:r>
      <w:r>
        <w:rPr>
          <w:rFonts w:ascii="Times New Roman" w:eastAsia="Times New Roman" w:hAnsi="Times New Roman" w:cs="Times New Roman"/>
          <w:sz w:val="28"/>
          <w:szCs w:val="28"/>
        </w:rPr>
        <w:t xml:space="preserve">12.09.2024 ответчик Вольский Р.П., управляя транспортным средством </w:t>
      </w:r>
      <w:r>
        <w:rPr>
          <w:rStyle w:val="cat-CarMakeModelgrp-36rplc-5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4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8rplc-5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в результате нарушения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9.10 Правил дорожного движения, совершил столкновение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транспортным средством </w:t>
      </w:r>
      <w:r>
        <w:rPr>
          <w:rStyle w:val="cat-CarMakeModelgrp-35rplc-5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5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7rplc-5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Fonts w:ascii="Times New Roman" w:eastAsia="Times New Roman" w:hAnsi="Times New Roman" w:cs="Times New Roman"/>
          <w:sz w:val="28"/>
          <w:szCs w:val="28"/>
        </w:rPr>
        <w:t>Веретинского</w:t>
      </w:r>
      <w:r>
        <w:rPr>
          <w:rFonts w:ascii="Times New Roman" w:eastAsia="Times New Roman" w:hAnsi="Times New Roman" w:cs="Times New Roman"/>
          <w:sz w:val="28"/>
          <w:szCs w:val="28"/>
        </w:rPr>
        <w:t xml:space="preserve"> И.Н. В результате дорожно-транспортного происшествия транспортные средства получили механические повреждения. Причиной ДТП явились действия ответчика. Данный факт подтверждается справкой о ДТП от 12.09.2024, протоколом об административном правонарушении от 12.09.2024 и постановлением по делу об административном правонарушении от 12.09.2024, согласно которым ответчик Вольский Р.П. был признан виновным в ДТП и привлечен к административной ответственности по ч.1 ст.12.15 КоАП РФ к административном</w:t>
      </w:r>
      <w:r>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штрафу в размере 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500 рублей</w:t>
      </w:r>
      <w:r>
        <w:rPr>
          <w:rFonts w:ascii="Times New Roman" w:eastAsia="Times New Roman" w:hAnsi="Times New Roman" w:cs="Times New Roman"/>
          <w:sz w:val="28"/>
          <w:szCs w:val="28"/>
        </w:rPr>
        <w:t xml:space="preserve"> (л.д.15-16)</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Потерпевший </w:t>
      </w:r>
      <w:r>
        <w:rPr>
          <w:rFonts w:ascii="Times New Roman" w:eastAsia="Times New Roman" w:hAnsi="Times New Roman" w:cs="Times New Roman"/>
          <w:sz w:val="28"/>
          <w:szCs w:val="28"/>
        </w:rPr>
        <w:t>Веретинский</w:t>
      </w:r>
      <w:r>
        <w:rPr>
          <w:rFonts w:ascii="Times New Roman" w:eastAsia="Times New Roman" w:hAnsi="Times New Roman" w:cs="Times New Roman"/>
          <w:sz w:val="28"/>
          <w:szCs w:val="28"/>
        </w:rPr>
        <w:t xml:space="preserve"> И.Н. обратился в АО «</w:t>
      </w:r>
      <w:r>
        <w:rPr>
          <w:rFonts w:ascii="Times New Roman" w:eastAsia="Times New Roman" w:hAnsi="Times New Roman" w:cs="Times New Roman"/>
          <w:sz w:val="28"/>
          <w:szCs w:val="28"/>
        </w:rPr>
        <w:t>Альфа-Страхование</w:t>
      </w:r>
      <w:r>
        <w:rPr>
          <w:rFonts w:ascii="Times New Roman" w:eastAsia="Times New Roman" w:hAnsi="Times New Roman" w:cs="Times New Roman"/>
          <w:sz w:val="28"/>
          <w:szCs w:val="28"/>
        </w:rPr>
        <w:t xml:space="preserve">» с заявлением о страховом случае. Стоимость восстановительного ремонта транспортного средства </w:t>
      </w:r>
      <w:r>
        <w:rPr>
          <w:rStyle w:val="cat-CarMakeModelgrp-35rplc-6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6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7rplc-6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составила 449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957 рублей, что подтверждается заказ-нарядом, актом выполненных работ ООО «СК-Моторс КОЛОР», производившего восстановительный ремонт по направлению АО «</w:t>
      </w:r>
      <w:r>
        <w:rPr>
          <w:rFonts w:ascii="Times New Roman" w:eastAsia="Times New Roman" w:hAnsi="Times New Roman" w:cs="Times New Roman"/>
          <w:sz w:val="28"/>
          <w:szCs w:val="28"/>
        </w:rPr>
        <w:t>Альфа-Страхование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Общество оплатило указанный ремонт, что подтверждается платежным поручением от 21.02.2025 № 22355 (л.д.23-28)</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Гражданская ответственность ответчика на момент ДТП была застрахована в АО «Т-страхование». Согласно экспертному заключению ООО «Компакт эксперт», составленному в соответствии с Единой методикой, утвержденной Центральным Банком РФ, стоимость восстановительного ремонта транспортного средства </w:t>
      </w:r>
      <w:r>
        <w:rPr>
          <w:rStyle w:val="cat-CarMakeModelgrp-35rplc-7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7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учетом износа составила 371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620,06 рублей. Указанную сумму АО «Т-Страхование» перечислило АО «</w:t>
      </w:r>
      <w:r>
        <w:rPr>
          <w:rFonts w:ascii="Times New Roman" w:eastAsia="Times New Roman" w:hAnsi="Times New Roman" w:cs="Times New Roman"/>
          <w:sz w:val="28"/>
          <w:szCs w:val="28"/>
        </w:rPr>
        <w:t>Альфа-Страхование</w:t>
      </w:r>
      <w:r>
        <w:rPr>
          <w:rFonts w:ascii="Times New Roman" w:eastAsia="Times New Roman" w:hAnsi="Times New Roman" w:cs="Times New Roman"/>
          <w:sz w:val="28"/>
          <w:szCs w:val="28"/>
        </w:rPr>
        <w:t>» на основании требования о страховой выплате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29-36)</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Спор </w:t>
      </w:r>
      <w:r>
        <w:rPr>
          <w:rFonts w:ascii="Times New Roman" w:eastAsia="Times New Roman" w:hAnsi="Times New Roman" w:cs="Times New Roman"/>
          <w:sz w:val="28"/>
          <w:szCs w:val="28"/>
        </w:rPr>
        <w:t xml:space="preserve">между сторонами </w:t>
      </w:r>
      <w:r>
        <w:rPr>
          <w:rFonts w:ascii="Times New Roman" w:eastAsia="Times New Roman" w:hAnsi="Times New Roman" w:cs="Times New Roman"/>
          <w:sz w:val="28"/>
          <w:szCs w:val="28"/>
        </w:rPr>
        <w:t>состоит в размере ущерба, подлежащего возмещению в порядке суброгации.</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со ст. 1064 Гражданского кодекса Российской Федерации (далее ГК РФ) вред, </w:t>
      </w:r>
      <w:r>
        <w:rPr>
          <w:rFonts w:ascii="Times New Roman" w:eastAsia="Times New Roman" w:hAnsi="Times New Roman" w:cs="Times New Roman"/>
          <w:sz w:val="28"/>
          <w:szCs w:val="28"/>
        </w:rPr>
        <w:t>причин</w:t>
      </w:r>
      <w:r>
        <w:rPr>
          <w:rFonts w:ascii="Times New Roman" w:eastAsia="Times New Roman" w:hAnsi="Times New Roman" w:cs="Times New Roman"/>
          <w:sz w:val="28"/>
          <w:szCs w:val="28"/>
        </w:rPr>
        <w:t>ё</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личности или имуществу гражданина, подлежит возмещению в полном </w:t>
      </w:r>
      <w:r>
        <w:rPr>
          <w:rFonts w:ascii="Times New Roman" w:eastAsia="Times New Roman" w:hAnsi="Times New Roman" w:cs="Times New Roman"/>
          <w:sz w:val="28"/>
          <w:szCs w:val="28"/>
        </w:rPr>
        <w:t>объ</w:t>
      </w:r>
      <w:r>
        <w:rPr>
          <w:rFonts w:ascii="Times New Roman" w:eastAsia="Times New Roman" w:hAnsi="Times New Roman" w:cs="Times New Roman"/>
          <w:sz w:val="28"/>
          <w:szCs w:val="28"/>
        </w:rPr>
        <w:t>ё</w:t>
      </w:r>
      <w:r>
        <w:rPr>
          <w:rFonts w:ascii="Times New Roman" w:eastAsia="Times New Roman" w:hAnsi="Times New Roman" w:cs="Times New Roman"/>
          <w:sz w:val="28"/>
          <w:szCs w:val="28"/>
        </w:rPr>
        <w:t>ме</w:t>
      </w:r>
      <w:r>
        <w:rPr>
          <w:rFonts w:ascii="Times New Roman" w:eastAsia="Times New Roman" w:hAnsi="Times New Roman" w:cs="Times New Roman"/>
          <w:sz w:val="28"/>
          <w:szCs w:val="28"/>
        </w:rPr>
        <w:t xml:space="preserve"> лицом, причинившим вред.</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xml:space="preserve"> ст. 15 ГК РФ лицо, право которого нарушено, может требовать полного возмещения причин</w:t>
      </w:r>
      <w:r>
        <w:rPr>
          <w:rFonts w:ascii="Times New Roman" w:eastAsia="Times New Roman" w:hAnsi="Times New Roman" w:cs="Times New Roman"/>
          <w:sz w:val="28"/>
          <w:szCs w:val="28"/>
        </w:rPr>
        <w:t>ён</w:t>
      </w:r>
      <w:r>
        <w:rPr>
          <w:rFonts w:ascii="Times New Roman" w:eastAsia="Times New Roman" w:hAnsi="Times New Roman" w:cs="Times New Roman"/>
          <w:sz w:val="28"/>
          <w:szCs w:val="28"/>
        </w:rPr>
        <w:t>ных</w:t>
      </w:r>
      <w:r>
        <w:rPr>
          <w:rFonts w:ascii="Times New Roman" w:eastAsia="Times New Roman" w:hAnsi="Times New Roman" w:cs="Times New Roman"/>
          <w:sz w:val="28"/>
          <w:szCs w:val="28"/>
        </w:rPr>
        <w:t xml:space="preserve"> ему убытков.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
    <w:p>
      <w:pPr>
        <w:spacing w:before="0" w:after="0"/>
        <w:ind w:firstLine="720"/>
        <w:jc w:val="both"/>
        <w:rPr>
          <w:sz w:val="28"/>
          <w:szCs w:val="28"/>
        </w:rPr>
      </w:pPr>
      <w:r>
        <w:rPr>
          <w:rFonts w:ascii="Times New Roman" w:eastAsia="Times New Roman" w:hAnsi="Times New Roman" w:cs="Times New Roman"/>
          <w:sz w:val="28"/>
          <w:szCs w:val="28"/>
        </w:rPr>
        <w:t xml:space="preserve">В соответствии со ст.965 ГК РФ к страховщику, выплатившему страховое возмещение, переходит в пределах выплаченной суммы право требования, которое страхователь (выгодоприобретатель) </w:t>
      </w:r>
      <w:r>
        <w:rPr>
          <w:rFonts w:ascii="Times New Roman" w:eastAsia="Times New Roman" w:hAnsi="Times New Roman" w:cs="Times New Roman"/>
          <w:sz w:val="28"/>
          <w:szCs w:val="28"/>
        </w:rPr>
        <w:t>имеет к лицу, ответственному за убытки, возмещенные в результате страхования.</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 xml:space="preserve">В соответствии с положениями ст.ст.12, 12.1 Федерального закона Российской Федерации от 25.04.2002 № 40-ФЗ "Об обязательном страховании гражданской ответственности владельцев транспортных средств" (далее ФЗ РФ «Об ОСАГО»), глав 3, 4 Положения Банка России от 19.09.2014 №431-П «О правилах </w:t>
      </w:r>
      <w:r>
        <w:rPr>
          <w:rFonts w:ascii="Times New Roman" w:eastAsia="Times New Roman" w:hAnsi="Times New Roman" w:cs="Times New Roman"/>
          <w:sz w:val="28"/>
          <w:szCs w:val="28"/>
        </w:rPr>
        <w:t>обязательного страхования гражданской ответственности владельцев транспортных средств», размер подлежащих возмещению убытков при причинении вреда имуществу потерпевшего определяется в случае повреждения имущества потерпевшего – в размере расходов, необходимых для приведения имущества в состояние, в котором оно находилось до момента</w:t>
      </w:r>
      <w:r>
        <w:rPr>
          <w:rFonts w:ascii="Times New Roman" w:eastAsia="Times New Roman" w:hAnsi="Times New Roman" w:cs="Times New Roman"/>
          <w:sz w:val="28"/>
          <w:szCs w:val="28"/>
        </w:rPr>
        <w:t xml:space="preserve"> наступления страхового случая. Размер расходов на запасные части определяется с учетом износа комплектующих изделий (деталей, узлов и агрегатов), подлежащих замене при восстановительном ремонте.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 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 Независимая техническая экспертиза проводится по правилам, утверждаемым Банком России и с использование единой методики определения размера расходов на восстановительный ремонт в отношении поврежденного транспортного средства, в частности порядок расчета размера расходов на материалы, запасные части, оплату работ, связанных с восстановительным ремонтом, порядок расчета размера износа подлежащих замене комплектующих изделий (деталей, узлов, агрегатов) и т.д. Независимая техническая экспертиза транспортных средств проводится экспертом-техником или экспертной организацией, имеющей в штате не менее одного эксперта-техника.</w:t>
      </w:r>
    </w:p>
    <w:p>
      <w:pPr>
        <w:spacing w:before="0" w:after="0"/>
        <w:ind w:firstLine="720"/>
        <w:jc w:val="both"/>
        <w:rPr>
          <w:sz w:val="28"/>
          <w:szCs w:val="28"/>
        </w:rPr>
      </w:pPr>
      <w:r>
        <w:rPr>
          <w:rFonts w:ascii="Times New Roman" w:eastAsia="Times New Roman" w:hAnsi="Times New Roman" w:cs="Times New Roman"/>
          <w:sz w:val="28"/>
          <w:szCs w:val="28"/>
        </w:rPr>
        <w:t xml:space="preserve">Согласно п.3.1, 3.4, 3.6.5 Положения Банка России от 19.09.2014 №432-П «О единой методике определения размера расходов на восстановительный ремонт в отношении поврежденного транспортного средства», Единая методика определения размера расходов на восстановительный ремонт в отношении поврежденного транспортного средства является обязательной для применения страховщиками и их представителями, если они самостоятельно проводят осмотр, определяют восстановительные расходы и выплачивают страховое возмещение в соответствии с законом «Об ОСАГО», а также экспертами-техниками при проведении независимой технической экспертизы транспортных средств, назначаемой в целях определения размера страховой выплаты потерпевшему. Размер расходов на восстановительный ремонт определяется с учетом износа комплектующих изделий, подлежащих замене при восстановительном ремонте. Определение стоимости новой запасной части, установка которой назначается взамен подлежащего замене комплектующего изделия, осуществляется путем применения электронных баз данных стоимостной информации (справочников) в </w:t>
      </w:r>
      <w:r>
        <w:rPr>
          <w:rFonts w:ascii="Times New Roman" w:eastAsia="Times New Roman" w:hAnsi="Times New Roman" w:cs="Times New Roman"/>
          <w:sz w:val="28"/>
          <w:szCs w:val="28"/>
        </w:rPr>
        <w:t>отношении деталей.</w:t>
      </w:r>
    </w:p>
    <w:p>
      <w:pPr>
        <w:spacing w:before="0" w:after="0"/>
        <w:ind w:firstLine="708"/>
        <w:jc w:val="both"/>
        <w:rPr>
          <w:sz w:val="28"/>
          <w:szCs w:val="28"/>
        </w:rPr>
      </w:pPr>
      <w:r>
        <w:rPr>
          <w:rFonts w:ascii="Times New Roman" w:eastAsia="Times New Roman" w:hAnsi="Times New Roman" w:cs="Times New Roman"/>
          <w:sz w:val="28"/>
          <w:szCs w:val="28"/>
        </w:rPr>
        <w:t>Согласно разъяснениям Конституционного Суда Российской Федерации, отраженн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постановлении от 10.03.2017 №6-П, </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акон «Об ОСАГО», как специальный нормативно-правовой акт, не исключает распространение на отношения между потерпевшим и лицом, причинившим вред, общих норм ГК РФ об обязательствах из причинения вреда. Следовательно,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 в результате противоправных действий которого образовался этот ущерб, путем предъявления к нему соответствующего требования. Замена деталей, узлов и агрегатов – если она </w:t>
      </w:r>
      <w:r>
        <w:rPr>
          <w:rFonts w:ascii="Times New Roman" w:eastAsia="Times New Roman" w:hAnsi="Times New Roman" w:cs="Times New Roman"/>
          <w:sz w:val="28"/>
          <w:szCs w:val="28"/>
        </w:rPr>
        <w:t>необходима для восстановления эксплуатационных, в том числе с учетом требований безопасности дорожного движения, в большинстве случаев сводится к их замене на новые детали, узлы и агрегаты. Поскольку полное возмещение вреда предполагает восстановление поврежденного имущества до состояния, в котором оно находилось до нарушения права, в таких случаях неосновательного обогащения собственника поврежденного имущества не происходит, даже если в результате замены поврежденных деталей его стоимость выросла.</w:t>
      </w:r>
      <w:r>
        <w:rPr>
          <w:rFonts w:ascii="Times New Roman" w:eastAsia="Times New Roman" w:hAnsi="Times New Roman" w:cs="Times New Roman"/>
          <w:sz w:val="28"/>
          <w:szCs w:val="28"/>
        </w:rPr>
        <w:t xml:space="preserve"> Положения ст.15, 1064, 1072, 1079 ГК РФ по своему конституционно-правовому смыслу в системе действующего правового регулирования (во взаимосвязи с положениями Закона «Об ОСАГО») предполагают возможность возмещения лицом, гражданская ответственность которого застрахована по договору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ОСАГО, потерпевшему, которому по указанному договору страховой организацией выплачено страховое возмещение в размере, исчисленном в соответствии с Единой методикой определения размера расходов на восстановительный ремонт в отношении поврежденного транспортного средства с учетом износа подлежащих замене деталей, имущественного вреда исходя из принципа полного его возмещения, если потерпевшим представлены надлежащие </w:t>
      </w:r>
      <w:r>
        <w:rPr>
          <w:rFonts w:ascii="Times New Roman" w:eastAsia="Times New Roman" w:hAnsi="Times New Roman" w:cs="Times New Roman"/>
          <w:sz w:val="28"/>
          <w:szCs w:val="28"/>
        </w:rPr>
        <w:t xml:space="preserve">доказательства того, что размер фактически понесенного им ущерба превышает </w:t>
      </w:r>
      <w:r>
        <w:rPr>
          <w:rFonts w:ascii="Times New Roman" w:eastAsia="Times New Roman" w:hAnsi="Times New Roman" w:cs="Times New Roman"/>
          <w:sz w:val="28"/>
          <w:szCs w:val="28"/>
        </w:rPr>
        <w:t xml:space="preserve">сумму страхового возмещения. </w:t>
      </w:r>
    </w:p>
    <w:p>
      <w:pPr>
        <w:spacing w:before="0" w:after="0"/>
        <w:ind w:firstLine="567"/>
        <w:jc w:val="both"/>
        <w:rPr>
          <w:sz w:val="28"/>
          <w:szCs w:val="28"/>
        </w:rPr>
      </w:pPr>
      <w:r>
        <w:rPr>
          <w:rFonts w:ascii="Times New Roman" w:eastAsia="Times New Roman" w:hAnsi="Times New Roman" w:cs="Times New Roman"/>
          <w:sz w:val="28"/>
          <w:szCs w:val="28"/>
        </w:rPr>
        <w:t>Согласно п.13 постановления Пленума Верховного Суда Российской Федерации от 23 июня 2015 года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25 «О применении судами некоторых положений раздела I части первой Гражданского кодекса Российской Федерации»,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pPr>
        <w:spacing w:before="0" w:after="0"/>
        <w:ind w:firstLine="567"/>
        <w:jc w:val="both"/>
        <w:rPr>
          <w:sz w:val="28"/>
          <w:szCs w:val="28"/>
        </w:rPr>
      </w:pPr>
      <w:r>
        <w:rPr>
          <w:rFonts w:ascii="Times New Roman" w:eastAsia="Times New Roman" w:hAnsi="Times New Roman" w:cs="Times New Roman"/>
          <w:sz w:val="28"/>
          <w:szCs w:val="28"/>
        </w:rPr>
        <w:t xml:space="preserve">В силу вышеуказанных норм закона и разъяснений Верховного Суда </w:t>
      </w:r>
      <w:r>
        <w:rPr>
          <w:rFonts w:ascii="Times New Roman" w:eastAsia="Times New Roman" w:hAnsi="Times New Roman" w:cs="Times New Roman"/>
          <w:sz w:val="28"/>
          <w:szCs w:val="28"/>
        </w:rPr>
        <w:t>РФ и Конституционного Суда РФ, потерпевший имеет право на полное фактическое возмещение причиненного ему ущерба со стороны причинителя вреда в части, непокрытой страховым возмещением, определенным в соответствии с Законом об ОСАГО. При этом бремя доказывания того, что размер стоимости восстановительного ремонта может быть уменьшен, лежит на ответчике.</w:t>
      </w:r>
    </w:p>
    <w:p>
      <w:pPr>
        <w:spacing w:before="0" w:after="0"/>
        <w:ind w:firstLine="567"/>
        <w:jc w:val="both"/>
        <w:rPr>
          <w:sz w:val="28"/>
          <w:szCs w:val="28"/>
        </w:rPr>
      </w:pPr>
      <w:r>
        <w:rPr>
          <w:rFonts w:ascii="Times New Roman" w:eastAsia="Times New Roman" w:hAnsi="Times New Roman" w:cs="Times New Roman"/>
          <w:sz w:val="28"/>
          <w:szCs w:val="28"/>
        </w:rPr>
        <w:t xml:space="preserve">Истцом в подтверждение своей позиции представлены доказательства проведения фактического восстановительного ремонта поврежденного транспортного средства </w:t>
      </w:r>
      <w:r>
        <w:rPr>
          <w:rStyle w:val="cat-CarMakeModelgrp-35rplc-8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8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СТОА ООО «СК-Моторс КОЛОР», стоимость которого составила 449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957 рублей. </w:t>
      </w:r>
    </w:p>
    <w:p>
      <w:pPr>
        <w:spacing w:before="0" w:after="0"/>
        <w:ind w:firstLine="708"/>
        <w:jc w:val="both"/>
        <w:rPr>
          <w:sz w:val="28"/>
          <w:szCs w:val="28"/>
        </w:rPr>
      </w:pPr>
      <w:r>
        <w:rPr>
          <w:rFonts w:ascii="Times New Roman" w:eastAsia="Times New Roman" w:hAnsi="Times New Roman" w:cs="Times New Roman"/>
          <w:sz w:val="28"/>
          <w:szCs w:val="28"/>
        </w:rPr>
        <w:t xml:space="preserve">Оценивая представленные доказательства, суд признает их достоверными и обоснованными, поскольку они в полном объеме соответствует вышеуказанным требованиям закона, </w:t>
      </w:r>
      <w:r>
        <w:rPr>
          <w:rFonts w:ascii="Times New Roman" w:eastAsia="Times New Roman" w:hAnsi="Times New Roman" w:cs="Times New Roman"/>
          <w:sz w:val="28"/>
          <w:szCs w:val="28"/>
        </w:rPr>
        <w:t xml:space="preserve">непосредственно связаны с дорожно-транспортным происшествием и </w:t>
      </w:r>
      <w:r>
        <w:rPr>
          <w:rFonts w:ascii="Times New Roman" w:eastAsia="Times New Roman" w:hAnsi="Times New Roman" w:cs="Times New Roman"/>
          <w:sz w:val="28"/>
          <w:szCs w:val="28"/>
        </w:rPr>
        <w:t>направлены на полное возмещение потерпевшему причинного ущерба.</w:t>
      </w:r>
    </w:p>
    <w:p>
      <w:pPr>
        <w:spacing w:before="0" w:after="0"/>
        <w:ind w:firstLine="708"/>
        <w:jc w:val="both"/>
        <w:rPr>
          <w:sz w:val="28"/>
          <w:szCs w:val="28"/>
        </w:rPr>
      </w:pPr>
      <w:r>
        <w:rPr>
          <w:rFonts w:ascii="Times New Roman" w:eastAsia="Times New Roman" w:hAnsi="Times New Roman" w:cs="Times New Roman"/>
          <w:sz w:val="28"/>
          <w:szCs w:val="28"/>
        </w:rPr>
        <w:t>Доказательств обратного суду не представлено.</w:t>
      </w:r>
    </w:p>
    <w:p>
      <w:pPr>
        <w:spacing w:before="0" w:after="0"/>
        <w:ind w:firstLine="708"/>
        <w:jc w:val="both"/>
        <w:rPr>
          <w:sz w:val="28"/>
          <w:szCs w:val="28"/>
        </w:rPr>
      </w:pPr>
      <w:r>
        <w:rPr>
          <w:rFonts w:ascii="Times New Roman" w:eastAsia="Times New Roman" w:hAnsi="Times New Roman" w:cs="Times New Roman"/>
          <w:sz w:val="28"/>
          <w:szCs w:val="28"/>
        </w:rPr>
        <w:t>Суд принимает за основу</w:t>
      </w:r>
      <w:r>
        <w:rPr>
          <w:rFonts w:ascii="Times New Roman" w:eastAsia="Times New Roman" w:hAnsi="Times New Roman" w:cs="Times New Roman"/>
          <w:sz w:val="28"/>
          <w:szCs w:val="28"/>
        </w:rPr>
        <w:t xml:space="preserve"> реальную стоимость восстановительного ремонта поврежденного автомобиля </w:t>
      </w:r>
      <w:r>
        <w:rPr>
          <w:rStyle w:val="cat-CarMakeModelgrp-35rplc-8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5rplc-9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сумме 449 957 рублей.</w:t>
      </w:r>
    </w:p>
    <w:p>
      <w:pPr>
        <w:spacing w:before="0" w:after="0"/>
        <w:ind w:firstLine="708"/>
        <w:jc w:val="both"/>
        <w:rPr>
          <w:sz w:val="28"/>
          <w:szCs w:val="28"/>
        </w:rPr>
      </w:pPr>
      <w:r>
        <w:rPr>
          <w:rFonts w:ascii="Times New Roman" w:eastAsia="Times New Roman" w:hAnsi="Times New Roman" w:cs="Times New Roman"/>
          <w:sz w:val="28"/>
          <w:szCs w:val="28"/>
        </w:rPr>
        <w:t>Таким образом, учитывая то, что истцу возмещен ущерб лишь в сумме 371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620,06 рублей (согласно заявленным исковым требованиям в пределах лимита по полису ОСАГО в размере 400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то есть с учетом износа заменяемых деталей, а для восстановительного ремонта требуется их замена на новые, суд соглашается с требованиями истца о взыскании с о</w:t>
      </w:r>
      <w:r>
        <w:rPr>
          <w:rFonts w:ascii="Times New Roman" w:eastAsia="Times New Roman" w:hAnsi="Times New Roman" w:cs="Times New Roman"/>
          <w:sz w:val="28"/>
          <w:szCs w:val="28"/>
        </w:rPr>
        <w:t>тветчика разницы между страховым</w:t>
      </w:r>
      <w:r>
        <w:rPr>
          <w:rFonts w:ascii="Times New Roman" w:eastAsia="Times New Roman" w:hAnsi="Times New Roman" w:cs="Times New Roman"/>
          <w:sz w:val="28"/>
          <w:szCs w:val="28"/>
        </w:rPr>
        <w:t xml:space="preserve"> возмещением и фактическим размером причиненного им ущерба, которая составляет </w:t>
      </w:r>
      <w:r>
        <w:rPr>
          <w:rFonts w:ascii="Times New Roman" w:eastAsia="Times New Roman" w:hAnsi="Times New Roman" w:cs="Times New Roman"/>
          <w:sz w:val="28"/>
          <w:szCs w:val="28"/>
        </w:rPr>
        <w:t>49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957 </w:t>
      </w:r>
      <w:r>
        <w:rPr>
          <w:rFonts w:ascii="Times New Roman" w:eastAsia="Times New Roman" w:hAnsi="Times New Roman" w:cs="Times New Roman"/>
          <w:sz w:val="28"/>
          <w:szCs w:val="28"/>
        </w:rPr>
        <w:t>рублей (</w:t>
      </w:r>
      <w:r>
        <w:rPr>
          <w:rFonts w:ascii="Times New Roman" w:eastAsia="Times New Roman" w:hAnsi="Times New Roman" w:cs="Times New Roman"/>
          <w:sz w:val="28"/>
          <w:szCs w:val="28"/>
        </w:rPr>
        <w:t>449 957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400 000).</w:t>
      </w:r>
    </w:p>
    <w:p>
      <w:pPr>
        <w:spacing w:before="0" w:after="0"/>
        <w:ind w:firstLine="708"/>
        <w:jc w:val="both"/>
        <w:rPr>
          <w:sz w:val="28"/>
          <w:szCs w:val="28"/>
        </w:rPr>
      </w:pPr>
      <w:r>
        <w:rPr>
          <w:rFonts w:ascii="Times New Roman" w:eastAsia="Times New Roman" w:hAnsi="Times New Roman" w:cs="Times New Roman"/>
          <w:sz w:val="28"/>
          <w:szCs w:val="28"/>
        </w:rPr>
        <w:t>Размер страхового возмещения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сумме 371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620,06 рублей</w:t>
      </w:r>
      <w:r>
        <w:rPr>
          <w:rFonts w:ascii="Times New Roman" w:eastAsia="Times New Roman" w:hAnsi="Times New Roman" w:cs="Times New Roman"/>
          <w:sz w:val="28"/>
          <w:szCs w:val="28"/>
        </w:rPr>
        <w:t xml:space="preserve">, определенный </w:t>
      </w:r>
      <w:r>
        <w:rPr>
          <w:rFonts w:ascii="Times New Roman" w:eastAsia="Times New Roman" w:hAnsi="Times New Roman" w:cs="Times New Roman"/>
          <w:sz w:val="28"/>
          <w:szCs w:val="28"/>
        </w:rPr>
        <w:t>экспертн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заключени</w:t>
      </w:r>
      <w:r>
        <w:rPr>
          <w:rFonts w:ascii="Times New Roman" w:eastAsia="Times New Roman" w:hAnsi="Times New Roman" w:cs="Times New Roman"/>
          <w:sz w:val="28"/>
          <w:szCs w:val="28"/>
        </w:rPr>
        <w:t>ем</w:t>
      </w:r>
      <w:r>
        <w:rPr>
          <w:rFonts w:ascii="Times New Roman" w:eastAsia="Times New Roman" w:hAnsi="Times New Roman" w:cs="Times New Roman"/>
          <w:sz w:val="28"/>
          <w:szCs w:val="28"/>
        </w:rPr>
        <w:t xml:space="preserve"> ООО «Компакт </w:t>
      </w:r>
      <w:r>
        <w:rPr>
          <w:rFonts w:ascii="Times New Roman" w:eastAsia="Times New Roman" w:hAnsi="Times New Roman" w:cs="Times New Roman"/>
          <w:sz w:val="28"/>
          <w:szCs w:val="28"/>
        </w:rPr>
        <w:t xml:space="preserve">эксперт» от 07.03.2025 № 7514/046/03184/24, </w:t>
      </w:r>
      <w:r>
        <w:rPr>
          <w:rFonts w:ascii="Times New Roman" w:eastAsia="Times New Roman" w:hAnsi="Times New Roman" w:cs="Times New Roman"/>
          <w:sz w:val="28"/>
          <w:szCs w:val="28"/>
        </w:rPr>
        <w:t xml:space="preserve">произведенным </w:t>
      </w:r>
      <w:r>
        <w:rPr>
          <w:rFonts w:ascii="Times New Roman" w:eastAsia="Times New Roman" w:hAnsi="Times New Roman" w:cs="Times New Roman"/>
          <w:sz w:val="28"/>
          <w:szCs w:val="28"/>
        </w:rPr>
        <w:t>в соответствии с Единой методикой ЦБ РФ, не оспаривается сторонами и признается судом достоверным.</w:t>
      </w:r>
    </w:p>
    <w:p>
      <w:pPr>
        <w:spacing w:before="0" w:after="0"/>
        <w:ind w:firstLine="708"/>
        <w:jc w:val="both"/>
        <w:rPr>
          <w:sz w:val="28"/>
          <w:szCs w:val="28"/>
        </w:rPr>
      </w:pPr>
      <w:r>
        <w:rPr>
          <w:rFonts w:ascii="Times New Roman" w:eastAsia="Times New Roman" w:hAnsi="Times New Roman" w:cs="Times New Roman"/>
          <w:sz w:val="28"/>
          <w:szCs w:val="28"/>
        </w:rPr>
        <w:t>Доводы ответчика о том,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возложение на гражданина обязанности оплачивать коммерческую наценку дилера сверх объективной стоимости ремонта, определенной по Единой методике, приводит к неосновательному обогащению истца</w:t>
      </w:r>
      <w:r>
        <w:rPr>
          <w:rFonts w:ascii="Times New Roman" w:eastAsia="Times New Roman" w:hAnsi="Times New Roman" w:cs="Times New Roman"/>
          <w:sz w:val="28"/>
          <w:szCs w:val="28"/>
        </w:rPr>
        <w:t>, суд признает необоснованными и неподтвержденными объективными доказательствами.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анная позиция ответчика противоречит выводам высших судов</w:t>
      </w:r>
      <w:r>
        <w:rPr>
          <w:rFonts w:ascii="Times New Roman" w:eastAsia="Times New Roman" w:hAnsi="Times New Roman" w:cs="Times New Roman"/>
          <w:sz w:val="28"/>
          <w:szCs w:val="28"/>
        </w:rPr>
        <w:t xml:space="preserve"> и сводится к его несогласию с нормой закона, предоставляющей потерпевшему право требовать полного возмещения причиненного ущерба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Помимо э</w:t>
      </w:r>
      <w:r>
        <w:rPr>
          <w:rFonts w:ascii="Times New Roman" w:eastAsia="Times New Roman" w:hAnsi="Times New Roman" w:cs="Times New Roman"/>
          <w:sz w:val="28"/>
          <w:szCs w:val="28"/>
        </w:rPr>
        <w:t xml:space="preserve">того, </w:t>
      </w:r>
      <w:r>
        <w:rPr>
          <w:rFonts w:ascii="Times New Roman" w:eastAsia="Times New Roman" w:hAnsi="Times New Roman" w:cs="Times New Roman"/>
          <w:sz w:val="28"/>
          <w:szCs w:val="28"/>
        </w:rPr>
        <w:t xml:space="preserve">доводы ответчика о том, что </w:t>
      </w:r>
      <w:r>
        <w:rPr>
          <w:rFonts w:ascii="Times New Roman" w:eastAsia="Times New Roman" w:hAnsi="Times New Roman" w:cs="Times New Roman"/>
          <w:sz w:val="28"/>
          <w:szCs w:val="28"/>
        </w:rPr>
        <w:t>внешние повреждения транспортного средства не предполагали проведение сложного кузовного ремонта с заменой несущих элементов кузова (панели пола, боковины), включенные дилером в заказ-наряд</w:t>
      </w:r>
      <w:r>
        <w:rPr>
          <w:rFonts w:ascii="Times New Roman" w:eastAsia="Times New Roman" w:hAnsi="Times New Roman" w:cs="Times New Roman"/>
          <w:sz w:val="28"/>
          <w:szCs w:val="28"/>
        </w:rPr>
        <w:t>, а также о том, что в</w:t>
      </w:r>
      <w:r>
        <w:rPr>
          <w:rFonts w:ascii="Times New Roman" w:eastAsia="Times New Roman" w:hAnsi="Times New Roman" w:cs="Times New Roman"/>
          <w:sz w:val="28"/>
          <w:szCs w:val="28"/>
        </w:rPr>
        <w:t>ключение в смету работ по замене дорогостоящих узлов вместо восстановительного ремонта (рихтовки/окраски) привело к искусственному увеличению суммы убытков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противоречат позиции самого ответчика, основанной на экспертном заключении</w:t>
      </w:r>
      <w:r>
        <w:rPr>
          <w:rFonts w:ascii="Times New Roman" w:eastAsia="Times New Roman" w:hAnsi="Times New Roman" w:cs="Times New Roman"/>
          <w:sz w:val="28"/>
          <w:szCs w:val="28"/>
        </w:rPr>
        <w:t xml:space="preserve"> ООО «Компакт </w:t>
      </w:r>
      <w:r>
        <w:rPr>
          <w:rFonts w:ascii="Times New Roman" w:eastAsia="Times New Roman" w:hAnsi="Times New Roman" w:cs="Times New Roman"/>
          <w:sz w:val="28"/>
          <w:szCs w:val="28"/>
        </w:rPr>
        <w:t>эксперт» от 07.03.2025 № 7514/046/03184/24</w:t>
      </w:r>
      <w:r>
        <w:rPr>
          <w:rFonts w:ascii="Times New Roman" w:eastAsia="Times New Roman" w:hAnsi="Times New Roman" w:cs="Times New Roman"/>
          <w:sz w:val="28"/>
          <w:szCs w:val="28"/>
        </w:rPr>
        <w:t>, согласно которому вышеуказанные дорогостоящие детали подлежали именно замене на новые, а не ремонту.</w:t>
      </w:r>
    </w:p>
    <w:p>
      <w:pPr>
        <w:spacing w:before="0" w:after="0"/>
        <w:ind w:firstLine="708"/>
        <w:jc w:val="both"/>
        <w:rPr>
          <w:sz w:val="28"/>
          <w:szCs w:val="28"/>
        </w:rPr>
      </w:pPr>
      <w:r>
        <w:rPr>
          <w:rFonts w:ascii="Times New Roman" w:eastAsia="Times New Roman" w:hAnsi="Times New Roman" w:cs="Times New Roman"/>
          <w:sz w:val="28"/>
          <w:szCs w:val="28"/>
        </w:rPr>
        <w:t>При указанных обстоятельствах исковые требования АО «</w:t>
      </w:r>
      <w:r>
        <w:rPr>
          <w:rFonts w:ascii="Times New Roman" w:eastAsia="Times New Roman" w:hAnsi="Times New Roman" w:cs="Times New Roman"/>
          <w:sz w:val="28"/>
          <w:szCs w:val="28"/>
        </w:rPr>
        <w:t>Альфа-Страхование</w:t>
      </w:r>
      <w:r>
        <w:rPr>
          <w:rFonts w:ascii="Times New Roman" w:eastAsia="Times New Roman" w:hAnsi="Times New Roman" w:cs="Times New Roman"/>
          <w:sz w:val="28"/>
          <w:szCs w:val="28"/>
        </w:rPr>
        <w:t xml:space="preserve">» о взыскании с ответчика Вольского Р.П. ущерба в порядке суброгации в размере </w:t>
      </w:r>
      <w:r>
        <w:rPr>
          <w:rFonts w:ascii="Times New Roman" w:eastAsia="Times New Roman" w:hAnsi="Times New Roman" w:cs="Times New Roman"/>
          <w:sz w:val="28"/>
          <w:szCs w:val="28"/>
        </w:rPr>
        <w:t>49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957 рублей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подлежат удовлетворению в полном объеме. </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Согласно ч. 1 ст. 98 ГПК РФ стороне</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pPr>
        <w:spacing w:before="0" w:after="0"/>
        <w:ind w:firstLine="708"/>
        <w:jc w:val="both"/>
        <w:rPr>
          <w:sz w:val="28"/>
          <w:szCs w:val="28"/>
        </w:rPr>
      </w:pPr>
      <w:r>
        <w:rPr>
          <w:rFonts w:ascii="Times New Roman" w:eastAsia="Times New Roman" w:hAnsi="Times New Roman" w:cs="Times New Roman"/>
          <w:sz w:val="28"/>
          <w:szCs w:val="28"/>
        </w:rPr>
        <w:t>В этой связи, с ответчика в пользу истца подлежат взысканию судебные расходы по оплате государственной пошлины в размере по 4 000 рублей.</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Учитывая вышеизложенное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232.2, 232.4 Гражданского процессуального кодекса Российской Федерации, суд</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решил: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Исковые требования</w:t>
      </w:r>
      <w:r>
        <w:rPr>
          <w:rFonts w:ascii="Times New Roman" w:eastAsia="Times New Roman" w:hAnsi="Times New Roman" w:cs="Times New Roman"/>
          <w:sz w:val="28"/>
          <w:szCs w:val="28"/>
        </w:rPr>
        <w:t xml:space="preserve"> Акционерного общества «АльфаСтрахование» к Вольскому Роману Петровичу о возмещении ущерба в порядке суброгации</w:t>
      </w:r>
      <w:r>
        <w:rPr>
          <w:rFonts w:ascii="Times New Roman" w:eastAsia="Times New Roman" w:hAnsi="Times New Roman" w:cs="Times New Roman"/>
          <w:sz w:val="28"/>
          <w:szCs w:val="28"/>
        </w:rPr>
        <w:t xml:space="preserve"> – удовлетворить. </w:t>
      </w:r>
    </w:p>
    <w:p>
      <w:pPr>
        <w:spacing w:before="0" w:after="0"/>
        <w:ind w:firstLine="567"/>
        <w:jc w:val="both"/>
        <w:rPr>
          <w:sz w:val="28"/>
          <w:szCs w:val="28"/>
        </w:rPr>
      </w:pPr>
      <w:r>
        <w:rPr>
          <w:rFonts w:ascii="Times New Roman" w:eastAsia="Times New Roman" w:hAnsi="Times New Roman" w:cs="Times New Roman"/>
          <w:sz w:val="28"/>
          <w:szCs w:val="28"/>
        </w:rPr>
        <w:t xml:space="preserve">Взыскать с Вольского Романа Петровича, </w:t>
      </w:r>
      <w:r>
        <w:rPr>
          <w:rStyle w:val="cat-PassportDatagrp-28rplc-107"/>
          <w:rFonts w:ascii="Times New Roman" w:eastAsia="Times New Roman" w:hAnsi="Times New Roman" w:cs="Times New Roman"/>
          <w:sz w:val="28"/>
          <w:szCs w:val="28"/>
        </w:rPr>
        <w:t>паспортные данные</w:t>
      </w:r>
      <w:r>
        <w:rPr>
          <w:rStyle w:val="cat-ExternalSystemDefinedgrp-42rplc-108"/>
          <w:rFonts w:ascii="Times New Roman" w:eastAsia="Times New Roman" w:hAnsi="Times New Roman" w:cs="Times New Roman"/>
          <w:sz w:val="28"/>
          <w:szCs w:val="28"/>
        </w:rPr>
        <w:t>...</w:t>
      </w:r>
      <w:r>
        <w:rPr>
          <w:rStyle w:val="cat-ExternalSystemDefinedgrp-43rplc-10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пользу Акционерного общества «АльфаСтрахование», </w:t>
      </w:r>
      <w:r>
        <w:rPr>
          <w:rStyle w:val="cat-UserDefinedgrp-46rplc-111"/>
          <w:rFonts w:ascii="Times New Roman" w:eastAsia="Times New Roman" w:hAnsi="Times New Roman" w:cs="Times New Roman"/>
          <w:sz w:val="28"/>
          <w:szCs w:val="28"/>
        </w:rPr>
        <w:t>...</w:t>
      </w:r>
      <w:r>
        <w:rPr>
          <w:rFonts w:ascii="Times New Roman" w:eastAsia="Times New Roman" w:hAnsi="Times New Roman" w:cs="Times New Roman"/>
          <w:sz w:val="28"/>
          <w:szCs w:val="28"/>
        </w:rPr>
        <w:t>, сумму ущерба в порядке суброгации в размере 49 957 рублей, а также судебные расходы: по оплате государственной пошлины в размере 4 000 рублей.</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w:t>
      </w:r>
      <w:r>
        <w:rPr>
          <w:rFonts w:ascii="Times New Roman" w:eastAsia="Times New Roman" w:hAnsi="Times New Roman" w:cs="Times New Roman"/>
          <w:sz w:val="28"/>
          <w:szCs w:val="28"/>
        </w:rP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w:t>
      </w:r>
    </w:p>
    <w:p>
      <w:pPr>
        <w:spacing w:before="0" w:after="0"/>
        <w:ind w:firstLine="567"/>
        <w:jc w:val="both"/>
        <w:rPr>
          <w:sz w:val="28"/>
          <w:szCs w:val="28"/>
        </w:rPr>
      </w:pPr>
      <w:r>
        <w:rPr>
          <w:rFonts w:ascii="Times New Roman" w:eastAsia="Times New Roman" w:hAnsi="Times New Roman" w:cs="Times New Roman"/>
          <w:sz w:val="28"/>
          <w:szCs w:val="28"/>
        </w:rP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pPr>
        <w:spacing w:before="0" w:after="0"/>
        <w:ind w:firstLine="567"/>
        <w:jc w:val="both"/>
        <w:rPr>
          <w:sz w:val="28"/>
          <w:szCs w:val="28"/>
        </w:rPr>
      </w:pPr>
      <w:r>
        <w:rPr>
          <w:rFonts w:ascii="Times New Roman" w:eastAsia="Times New Roman" w:hAnsi="Times New Roman" w:cs="Times New Roman"/>
          <w:sz w:val="28"/>
          <w:szCs w:val="28"/>
        </w:rPr>
        <w:t>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pPr>
        <w:spacing w:before="0" w:after="0"/>
        <w:ind w:firstLine="567"/>
        <w:jc w:val="both"/>
        <w:rPr>
          <w:sz w:val="28"/>
          <w:szCs w:val="28"/>
        </w:rPr>
      </w:pPr>
      <w:r>
        <w:rPr>
          <w:rFonts w:ascii="Times New Roman" w:eastAsia="Times New Roman" w:hAnsi="Times New Roman" w:cs="Times New Roman"/>
          <w:sz w:val="28"/>
          <w:szCs w:val="28"/>
        </w:rPr>
        <w:t>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на решение суда по делу, рассмотренному в порядке упрощенного производства.</w:t>
      </w:r>
    </w:p>
    <w:p>
      <w:pPr>
        <w:spacing w:before="0" w:after="0"/>
        <w:ind w:firstLine="567"/>
        <w:jc w:val="both"/>
        <w:rPr>
          <w:sz w:val="28"/>
          <w:szCs w:val="28"/>
        </w:rPr>
      </w:pPr>
      <w:r>
        <w:rPr>
          <w:rFonts w:ascii="Times New Roman" w:eastAsia="Times New Roman" w:hAnsi="Times New Roman" w:cs="Times New Roman"/>
          <w:sz w:val="28"/>
          <w:szCs w:val="28"/>
        </w:rPr>
        <w:t xml:space="preserve">Решение по результатам рассмотрения дела в порядке упрощенного производства может быть обжаловано </w:t>
      </w:r>
      <w:r>
        <w:rPr>
          <w:rFonts w:ascii="Times New Roman" w:eastAsia="Times New Roman" w:hAnsi="Times New Roman" w:cs="Times New Roman"/>
          <w:sz w:val="28"/>
          <w:szCs w:val="28"/>
        </w:rPr>
        <w:t>в апелляционном порядке в Сургутский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городской суд Ханты-Мансийского автономного округа – Югры </w:t>
      </w:r>
      <w:r>
        <w:rPr>
          <w:rFonts w:ascii="Times New Roman" w:eastAsia="Times New Roman" w:hAnsi="Times New Roman" w:cs="Times New Roman"/>
          <w:sz w:val="28"/>
          <w:szCs w:val="28"/>
        </w:rPr>
        <w:t xml:space="preserve">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r>
        <w:rPr>
          <w:rFonts w:ascii="Times New Roman" w:eastAsia="Times New Roman" w:hAnsi="Times New Roman" w:cs="Times New Roman"/>
          <w:sz w:val="28"/>
          <w:szCs w:val="28"/>
        </w:rPr>
        <w:t xml:space="preserve">путём подачи апелляционной жалобы через мирового судью судебного участка № </w:t>
      </w:r>
      <w:r>
        <w:rPr>
          <w:rFonts w:ascii="Times New Roman" w:eastAsia="Times New Roman" w:hAnsi="Times New Roman" w:cs="Times New Roman"/>
          <w:sz w:val="28"/>
          <w:szCs w:val="28"/>
        </w:rPr>
        <w:t>2 Сургутского судебного района города окружного значения Сургута ХМАО-Югры.</w:t>
      </w:r>
    </w:p>
    <w:p>
      <w:pPr>
        <w:spacing w:before="0" w:after="0"/>
        <w:ind w:firstLine="567"/>
        <w:jc w:val="both"/>
        <w:rPr>
          <w:sz w:val="28"/>
          <w:szCs w:val="28"/>
        </w:rPr>
      </w:pPr>
      <w:r>
        <w:rPr>
          <w:rFonts w:ascii="Times New Roman" w:eastAsia="Times New Roman" w:hAnsi="Times New Roman" w:cs="Times New Roman"/>
          <w:sz w:val="28"/>
          <w:szCs w:val="28"/>
        </w:rPr>
        <w:t>Мотивированное решение составлено 12.05.2026, в связи с подачей апелляционной жалобы.</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М.Б. Бордунов </w:t>
      </w:r>
    </w:p>
    <w:p>
      <w:pPr>
        <w:spacing w:before="0" w:after="0"/>
        <w:ind w:firstLine="567"/>
        <w:jc w:val="both"/>
        <w:rPr>
          <w:sz w:val="28"/>
          <w:szCs w:val="28"/>
        </w:rPr>
      </w:pPr>
    </w:p>
    <w:p>
      <w:pPr>
        <w:spacing w:before="0" w:after="0"/>
        <w:ind w:firstLine="567"/>
        <w:jc w:val="both"/>
        <w:rPr>
          <w:sz w:val="20"/>
          <w:szCs w:val="20"/>
        </w:rPr>
      </w:pPr>
      <w:r>
        <w:rPr>
          <w:rFonts w:ascii="Times New Roman" w:eastAsia="Times New Roman" w:hAnsi="Times New Roman" w:cs="Times New Roman"/>
          <w:sz w:val="20"/>
          <w:szCs w:val="20"/>
        </w:rPr>
        <w:t>КОПИЯ ВЕРНА 12 мая 2026</w:t>
      </w:r>
      <w:r>
        <w:rPr>
          <w:rFonts w:ascii="Times New Roman" w:eastAsia="Times New Roman" w:hAnsi="Times New Roman" w:cs="Times New Roman"/>
          <w:sz w:val="20"/>
          <w:szCs w:val="20"/>
        </w:rPr>
        <w:t xml:space="preserve"> года </w:t>
      </w:r>
    </w:p>
    <w:p>
      <w:pPr>
        <w:spacing w:before="0" w:after="0"/>
        <w:ind w:firstLine="567"/>
        <w:jc w:val="both"/>
        <w:rPr>
          <w:sz w:val="20"/>
          <w:szCs w:val="20"/>
        </w:rPr>
      </w:pPr>
      <w:r>
        <w:rPr>
          <w:rFonts w:ascii="Times New Roman" w:eastAsia="Times New Roman" w:hAnsi="Times New Roman" w:cs="Times New Roman"/>
          <w:sz w:val="20"/>
          <w:szCs w:val="20"/>
        </w:rPr>
        <w:t>Мировой судья судебного участка №2</w:t>
      </w:r>
      <w:r>
        <w:rPr>
          <w:rFonts w:ascii="Times New Roman" w:eastAsia="Times New Roman" w:hAnsi="Times New Roman" w:cs="Times New Roman"/>
          <w:sz w:val="20"/>
          <w:szCs w:val="20"/>
        </w:rPr>
        <w:t xml:space="preserve"> Сургутского</w:t>
      </w:r>
    </w:p>
    <w:p>
      <w:pPr>
        <w:spacing w:before="0" w:after="0"/>
        <w:ind w:firstLine="567"/>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ind w:firstLine="567"/>
        <w:jc w:val="both"/>
        <w:rPr>
          <w:sz w:val="20"/>
          <w:szCs w:val="20"/>
        </w:rPr>
      </w:pPr>
      <w:r>
        <w:rPr>
          <w:rFonts w:ascii="Times New Roman" w:eastAsia="Times New Roman" w:hAnsi="Times New Roman" w:cs="Times New Roman"/>
          <w:sz w:val="20"/>
          <w:szCs w:val="20"/>
        </w:rPr>
        <w:t>ХМАО-Югры ______________________ М.Б. Бордунов</w:t>
      </w:r>
    </w:p>
    <w:p>
      <w:pPr>
        <w:spacing w:before="0" w:after="0"/>
        <w:ind w:firstLine="567"/>
        <w:jc w:val="both"/>
        <w:rPr>
          <w:sz w:val="20"/>
          <w:szCs w:val="20"/>
        </w:rPr>
      </w:pPr>
      <w:r>
        <w:rPr>
          <w:rFonts w:ascii="Times New Roman" w:eastAsia="Times New Roman" w:hAnsi="Times New Roman" w:cs="Times New Roman"/>
          <w:sz w:val="20"/>
          <w:szCs w:val="20"/>
        </w:rPr>
        <w:t>Подлинный до</w:t>
      </w:r>
      <w:r>
        <w:rPr>
          <w:rFonts w:ascii="Times New Roman" w:eastAsia="Times New Roman" w:hAnsi="Times New Roman" w:cs="Times New Roman"/>
          <w:sz w:val="20"/>
          <w:szCs w:val="20"/>
        </w:rPr>
        <w:t>кумент находится в деле № 2-652-2602/26</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54194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CarMakeModelgrp-35rplc-10">
    <w:name w:val="cat-CarMakeModel grp-35 rplc-10"/>
    <w:basedOn w:val="DefaultParagraphFont"/>
  </w:style>
  <w:style w:type="character" w:customStyle="1" w:styleId="cat-UserDefinedgrp-45rplc-11">
    <w:name w:val="cat-UserDefined grp-45 rplc-11"/>
    <w:basedOn w:val="DefaultParagraphFont"/>
  </w:style>
  <w:style w:type="character" w:customStyle="1" w:styleId="cat-CarNumbergrp-37rplc-12">
    <w:name w:val="cat-CarNumber grp-37 rplc-12"/>
    <w:basedOn w:val="DefaultParagraphFont"/>
  </w:style>
  <w:style w:type="character" w:customStyle="1" w:styleId="cat-CarMakeModelgrp-36rplc-15">
    <w:name w:val="cat-CarMakeModel grp-36 rplc-15"/>
    <w:basedOn w:val="DefaultParagraphFont"/>
  </w:style>
  <w:style w:type="character" w:customStyle="1" w:styleId="cat-UserDefinedgrp-44rplc-16">
    <w:name w:val="cat-UserDefined grp-44 rplc-16"/>
    <w:basedOn w:val="DefaultParagraphFont"/>
  </w:style>
  <w:style w:type="character" w:customStyle="1" w:styleId="cat-CarNumbergrp-38rplc-17">
    <w:name w:val="cat-CarNumber grp-38 rplc-17"/>
    <w:basedOn w:val="DefaultParagraphFont"/>
  </w:style>
  <w:style w:type="character" w:customStyle="1" w:styleId="cat-CarMakeModelgrp-35rplc-18">
    <w:name w:val="cat-CarMakeModel grp-35 rplc-18"/>
    <w:basedOn w:val="DefaultParagraphFont"/>
  </w:style>
  <w:style w:type="character" w:customStyle="1" w:styleId="cat-UserDefinedgrp-45rplc-19">
    <w:name w:val="cat-UserDefined grp-45 rplc-19"/>
    <w:basedOn w:val="DefaultParagraphFont"/>
  </w:style>
  <w:style w:type="character" w:customStyle="1" w:styleId="cat-CarNumbergrp-37rplc-20">
    <w:name w:val="cat-CarNumber grp-37 rplc-20"/>
    <w:basedOn w:val="DefaultParagraphFont"/>
  </w:style>
  <w:style w:type="character" w:customStyle="1" w:styleId="cat-CarMakeModelgrp-35rplc-24">
    <w:name w:val="cat-CarMakeModel grp-35 rplc-24"/>
    <w:basedOn w:val="DefaultParagraphFont"/>
  </w:style>
  <w:style w:type="character" w:customStyle="1" w:styleId="cat-UserDefinedgrp-45rplc-25">
    <w:name w:val="cat-UserDefined grp-45 rplc-25"/>
    <w:basedOn w:val="DefaultParagraphFont"/>
  </w:style>
  <w:style w:type="character" w:customStyle="1" w:styleId="cat-CarNumbergrp-37rplc-26">
    <w:name w:val="cat-CarNumber grp-37 rplc-26"/>
    <w:basedOn w:val="DefaultParagraphFont"/>
  </w:style>
  <w:style w:type="character" w:customStyle="1" w:styleId="cat-CarMakeModelgrp-35rplc-34">
    <w:name w:val="cat-CarMakeModel grp-35 rplc-34"/>
    <w:basedOn w:val="DefaultParagraphFont"/>
  </w:style>
  <w:style w:type="character" w:customStyle="1" w:styleId="cat-UserDefinedgrp-45rplc-35">
    <w:name w:val="cat-UserDefined grp-45 rplc-35"/>
    <w:basedOn w:val="DefaultParagraphFont"/>
  </w:style>
  <w:style w:type="character" w:customStyle="1" w:styleId="cat-CarMakeModelgrp-36rplc-50">
    <w:name w:val="cat-CarMakeModel grp-36 rplc-50"/>
    <w:basedOn w:val="DefaultParagraphFont"/>
  </w:style>
  <w:style w:type="character" w:customStyle="1" w:styleId="cat-UserDefinedgrp-44rplc-51">
    <w:name w:val="cat-UserDefined grp-44 rplc-51"/>
    <w:basedOn w:val="DefaultParagraphFont"/>
  </w:style>
  <w:style w:type="character" w:customStyle="1" w:styleId="cat-CarNumbergrp-38rplc-52">
    <w:name w:val="cat-CarNumber grp-38 rplc-52"/>
    <w:basedOn w:val="DefaultParagraphFont"/>
  </w:style>
  <w:style w:type="character" w:customStyle="1" w:styleId="cat-CarMakeModelgrp-35rplc-53">
    <w:name w:val="cat-CarMakeModel grp-35 rplc-53"/>
    <w:basedOn w:val="DefaultParagraphFont"/>
  </w:style>
  <w:style w:type="character" w:customStyle="1" w:styleId="cat-UserDefinedgrp-45rplc-54">
    <w:name w:val="cat-UserDefined grp-45 rplc-54"/>
    <w:basedOn w:val="DefaultParagraphFont"/>
  </w:style>
  <w:style w:type="character" w:customStyle="1" w:styleId="cat-CarNumbergrp-37rplc-55">
    <w:name w:val="cat-CarNumber grp-37 rplc-55"/>
    <w:basedOn w:val="DefaultParagraphFont"/>
  </w:style>
  <w:style w:type="character" w:customStyle="1" w:styleId="cat-CarMakeModelgrp-35rplc-64">
    <w:name w:val="cat-CarMakeModel grp-35 rplc-64"/>
    <w:basedOn w:val="DefaultParagraphFont"/>
  </w:style>
  <w:style w:type="character" w:customStyle="1" w:styleId="cat-UserDefinedgrp-45rplc-65">
    <w:name w:val="cat-UserDefined grp-45 rplc-65"/>
    <w:basedOn w:val="DefaultParagraphFont"/>
  </w:style>
  <w:style w:type="character" w:customStyle="1" w:styleId="cat-CarNumbergrp-37rplc-66">
    <w:name w:val="cat-CarNumber grp-37 rplc-66"/>
    <w:basedOn w:val="DefaultParagraphFont"/>
  </w:style>
  <w:style w:type="character" w:customStyle="1" w:styleId="cat-CarMakeModelgrp-35rplc-74">
    <w:name w:val="cat-CarMakeModel grp-35 rplc-74"/>
    <w:basedOn w:val="DefaultParagraphFont"/>
  </w:style>
  <w:style w:type="character" w:customStyle="1" w:styleId="cat-UserDefinedgrp-45rplc-75">
    <w:name w:val="cat-UserDefined grp-45 rplc-75"/>
    <w:basedOn w:val="DefaultParagraphFont"/>
  </w:style>
  <w:style w:type="character" w:customStyle="1" w:styleId="cat-CarMakeModelgrp-35rplc-85">
    <w:name w:val="cat-CarMakeModel grp-35 rplc-85"/>
    <w:basedOn w:val="DefaultParagraphFont"/>
  </w:style>
  <w:style w:type="character" w:customStyle="1" w:styleId="cat-UserDefinedgrp-45rplc-86">
    <w:name w:val="cat-UserDefined grp-45 rplc-86"/>
    <w:basedOn w:val="DefaultParagraphFont"/>
  </w:style>
  <w:style w:type="character" w:customStyle="1" w:styleId="cat-CarMakeModelgrp-35rplc-89">
    <w:name w:val="cat-CarMakeModel grp-35 rplc-89"/>
    <w:basedOn w:val="DefaultParagraphFont"/>
  </w:style>
  <w:style w:type="character" w:customStyle="1" w:styleId="cat-UserDefinedgrp-45rplc-90">
    <w:name w:val="cat-UserDefined grp-45 rplc-90"/>
    <w:basedOn w:val="DefaultParagraphFont"/>
  </w:style>
  <w:style w:type="character" w:customStyle="1" w:styleId="cat-PassportDatagrp-28rplc-107">
    <w:name w:val="cat-PassportData grp-28 rplc-107"/>
    <w:basedOn w:val="DefaultParagraphFont"/>
  </w:style>
  <w:style w:type="character" w:customStyle="1" w:styleId="cat-ExternalSystemDefinedgrp-42rplc-108">
    <w:name w:val="cat-ExternalSystemDefined grp-42 rplc-108"/>
    <w:basedOn w:val="DefaultParagraphFont"/>
  </w:style>
  <w:style w:type="character" w:customStyle="1" w:styleId="cat-ExternalSystemDefinedgrp-43rplc-109">
    <w:name w:val="cat-ExternalSystemDefined grp-43 rplc-109"/>
    <w:basedOn w:val="DefaultParagraphFont"/>
  </w:style>
  <w:style w:type="character" w:customStyle="1" w:styleId="cat-UserDefinedgrp-46rplc-111">
    <w:name w:val="cat-UserDefined grp-46 rplc-1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49FF3FB-8654-4EAB-A44B-4F80AB26E5D6}"/>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